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509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Способ установки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На измерительный патрубок устьевой</w:t>
            </w:r>
            <w:r w:rsidRPr="007202BB">
              <w:t xml:space="preserve"> </w:t>
            </w: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арматуры через соединительную муфту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Рабочий диапазон температур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-40…+50</w:t>
            </w:r>
            <w:proofErr w:type="gramStart"/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11FC3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Срок службы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≥ 5 лет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Время непрерывной работы датчика в режиме 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 xml:space="preserve">≥ 100 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 часов 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455D6D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Время заряда аккумулятора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≤ 2 часа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Встроенный 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  <w:t>Li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-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  <w:t>Pol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 аккумулятор 3,7 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  <w:t>V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455D6D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Диапазон контролируемых уровней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20÷6000 м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455D6D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Разрешающая способность по уровню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cstheme="minorHAnsi"/>
                <w:noProof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≤ 1 м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455D6D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Диапазон контролируемых давлений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0÷100 кгс/см</w:t>
            </w:r>
            <w:proofErr w:type="gramStart"/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455D6D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Разрешающая способность по давлению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≤ 0,1 кгс/см</w:t>
            </w:r>
            <w:proofErr w:type="gramStart"/>
            <w:r w:rsidRPr="007202BB">
              <w:rPr>
                <w:rFonts w:eastAsia="Times New Roman" w:cstheme="minorHAnsi"/>
                <w:bCs/>
                <w:kern w:val="24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B11EF1" w:rsidRPr="00A91AE5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Канал связи с датчиком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  <w:t>Bluetooth 4.x (Bluetooth Low Energy)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Радиус действия канала связи, не менее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≥ 30 м</w:t>
            </w:r>
          </w:p>
        </w:tc>
      </w:tr>
      <w:tr w:rsidR="00A91AE5" w:rsidRPr="00383D26" w:rsidTr="002C3A44">
        <w:tc>
          <w:tcPr>
            <w:tcW w:w="4792" w:type="dxa"/>
          </w:tcPr>
          <w:p w:rsidR="00A91AE5" w:rsidRPr="00383D26" w:rsidRDefault="002C3A44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Кнопки включения/выключения на корпусе датчика</w:t>
            </w:r>
          </w:p>
        </w:tc>
        <w:tc>
          <w:tcPr>
            <w:tcW w:w="4779" w:type="dxa"/>
          </w:tcPr>
          <w:p w:rsidR="00A91AE5" w:rsidRPr="007202BB" w:rsidRDefault="002C3A44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  <w:t>Способ активации датчика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Calibri" w:cstheme="minorHAnsi"/>
                <w:bCs/>
                <w:kern w:val="24"/>
                <w:sz w:val="24"/>
                <w:szCs w:val="24"/>
                <w:lang w:val="en-US" w:eastAsia="ru-RU"/>
              </w:rPr>
              <w:t>NFC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Подключаемые устройства сбора и передачи информации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Портативный блок сбора и передачи информации (БСПМ) на базе смартфона ОС 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  <w:t>Android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, класс защиты 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val="en-US" w:eastAsia="ru-RU"/>
              </w:rPr>
              <w:t>IP</w:t>
            </w: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6</w:t>
            </w:r>
            <w:r w:rsidR="002C3A44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7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эхо</w:t>
            </w: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грамм в памяти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Calibri" w:cstheme="minorHAnsi"/>
                <w:bCs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Обновление прошивки датчика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Calibri" w:cstheme="minorHAnsi"/>
                <w:bCs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По каналу </w:t>
            </w:r>
            <w:proofErr w:type="spellStart"/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Bluetooth</w:t>
            </w:r>
            <w:proofErr w:type="spellEnd"/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 при помощи мобильного блока сбора и передачи информации (БСПМ)</w:t>
            </w:r>
          </w:p>
        </w:tc>
      </w:tr>
      <w:tr w:rsidR="00B11EF1" w:rsidRPr="00383D26" w:rsidTr="002C3A44">
        <w:tc>
          <w:tcPr>
            <w:tcW w:w="4792" w:type="dxa"/>
          </w:tcPr>
          <w:p w:rsidR="00B11EF1" w:rsidRPr="00383D26" w:rsidRDefault="00B11EF1" w:rsidP="002C3A44">
            <w:pPr>
              <w:jc w:val="both"/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83D26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ru-RU"/>
              </w:rPr>
              <w:t>Обновление программного обеспечения БСПМ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Calibri" w:cstheme="minorHAnsi"/>
                <w:bCs/>
                <w:kern w:val="24"/>
                <w:sz w:val="24"/>
                <w:szCs w:val="24"/>
                <w:lang w:eastAsia="ru-RU"/>
              </w:rPr>
            </w:pPr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>По сети Интернет (бесплатно</w:t>
            </w:r>
            <w:proofErr w:type="gramStart"/>
            <w:r w:rsidRPr="007202BB">
              <w:rPr>
                <w:rFonts w:eastAsia="Times New Roman" w:cstheme="minorHAnsi"/>
                <w:kern w:val="2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B11EF1" w:rsidRPr="00251064" w:rsidTr="002C3A44">
        <w:tc>
          <w:tcPr>
            <w:tcW w:w="4792" w:type="dxa"/>
          </w:tcPr>
          <w:p w:rsidR="00B11EF1" w:rsidRPr="00251064" w:rsidRDefault="00B11EF1" w:rsidP="002C3A44">
            <w:pPr>
              <w:jc w:val="both"/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ru-RU"/>
              </w:rPr>
              <w:t xml:space="preserve">Степень защиты от внешних воздействий </w:t>
            </w:r>
          </w:p>
        </w:tc>
        <w:tc>
          <w:tcPr>
            <w:tcW w:w="4779" w:type="dxa"/>
          </w:tcPr>
          <w:p w:rsidR="00B11EF1" w:rsidRPr="007202BB" w:rsidRDefault="00B11EF1" w:rsidP="002C3A44">
            <w:pPr>
              <w:jc w:val="both"/>
              <w:rPr>
                <w:rFonts w:eastAsia="Calibri" w:cstheme="minorHAnsi"/>
                <w:bCs/>
                <w:kern w:val="24"/>
                <w:sz w:val="24"/>
                <w:szCs w:val="24"/>
                <w:lang w:val="en-US" w:eastAsia="ru-RU"/>
              </w:rPr>
            </w:pPr>
            <w:r w:rsidRPr="007202BB">
              <w:rPr>
                <w:rFonts w:eastAsia="Calibri" w:cstheme="minorHAnsi"/>
                <w:bCs/>
                <w:kern w:val="24"/>
                <w:sz w:val="24"/>
                <w:szCs w:val="24"/>
                <w:lang w:val="en-US" w:eastAsia="ru-RU"/>
              </w:rPr>
              <w:t>IP 67</w:t>
            </w:r>
          </w:p>
        </w:tc>
      </w:tr>
    </w:tbl>
    <w:p w:rsidR="00B24F86" w:rsidRPr="002C3A44" w:rsidRDefault="002C3A44">
      <w:pPr>
        <w:rPr>
          <w:sz w:val="32"/>
          <w:szCs w:val="32"/>
        </w:rPr>
      </w:pPr>
      <w:r w:rsidRPr="002C3A44">
        <w:rPr>
          <w:sz w:val="32"/>
          <w:szCs w:val="32"/>
        </w:rPr>
        <w:t>Техническое задание на портативный датч</w:t>
      </w:r>
      <w:bookmarkStart w:id="0" w:name="_GoBack"/>
      <w:bookmarkEnd w:id="0"/>
      <w:r w:rsidRPr="002C3A44">
        <w:rPr>
          <w:sz w:val="32"/>
          <w:szCs w:val="32"/>
        </w:rPr>
        <w:t xml:space="preserve">ик уровня </w:t>
      </w:r>
    </w:p>
    <w:sectPr w:rsidR="00B24F86" w:rsidRPr="002C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A0"/>
    <w:rsid w:val="002C3A44"/>
    <w:rsid w:val="003065A0"/>
    <w:rsid w:val="00545FBE"/>
    <w:rsid w:val="00A91AE5"/>
    <w:rsid w:val="00B11EF1"/>
    <w:rsid w:val="00F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2018-11-30T14:16:00Z</dcterms:created>
  <dcterms:modified xsi:type="dcterms:W3CDTF">2018-12-07T07:37:00Z</dcterms:modified>
</cp:coreProperties>
</file>